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D9796" w14:textId="409AC6FB" w:rsidR="00125DE3" w:rsidRDefault="003319DA">
      <w:r>
        <w:t>Připomínáme občanům, že splatnost poplatků za stočné je 31. 8. 2024. Cena za osobu je 250 Kč. Tento poplatek je povinen zaplatit každý občan obce, viz vyhláška „</w:t>
      </w:r>
      <w:r w:rsidRPr="003319DA">
        <w:t>Poplatková povinnost – stočné v roce 2024</w:t>
      </w:r>
      <w:r>
        <w:t>“.</w:t>
      </w:r>
    </w:p>
    <w:sectPr w:rsidR="0012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DA"/>
    <w:rsid w:val="00125DE3"/>
    <w:rsid w:val="003319DA"/>
    <w:rsid w:val="00AB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7E3B"/>
  <w15:chartTrackingRefBased/>
  <w15:docId w15:val="{DA8310E8-762D-481D-8414-5A10B1A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176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2024-08-23T07:59:00Z</dcterms:created>
  <dcterms:modified xsi:type="dcterms:W3CDTF">2024-08-23T08:01:00Z</dcterms:modified>
</cp:coreProperties>
</file>